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6BFB" w:rsidRDefault="00C26BFB">
      <w:pPr>
        <w:rPr>
          <w:rFonts w:hint="eastAsia"/>
        </w:rPr>
      </w:pPr>
      <w:r>
        <w:rPr>
          <w:rFonts w:hint="eastAsia"/>
        </w:rPr>
        <w:t>様式第７５号（第</w:t>
      </w:r>
      <w:r>
        <w:rPr>
          <w:rFonts w:hint="eastAsia"/>
        </w:rPr>
        <w:t>130</w:t>
      </w:r>
      <w:r>
        <w:rPr>
          <w:rFonts w:hint="eastAsia"/>
        </w:rPr>
        <w:t>条関係）</w:t>
      </w:r>
    </w:p>
    <w:p w:rsidR="00C26BFB" w:rsidRDefault="00C26BFB">
      <w:pPr>
        <w:rPr>
          <w:rFonts w:hint="eastAsia"/>
        </w:rPr>
      </w:pPr>
    </w:p>
    <w:p w:rsidR="00C26BFB" w:rsidRDefault="00C26BFB">
      <w:pPr>
        <w:jc w:val="center"/>
        <w:rPr>
          <w:rFonts w:hint="eastAsia"/>
        </w:rPr>
      </w:pPr>
      <w:r>
        <w:rPr>
          <w:rFonts w:hint="eastAsia"/>
          <w:spacing w:val="35"/>
        </w:rPr>
        <w:t>歳入歳出外現金整理</w:t>
      </w:r>
      <w:r>
        <w:rPr>
          <w:rFonts w:hint="eastAsia"/>
        </w:rPr>
        <w:t>簿</w:t>
      </w:r>
    </w:p>
    <w:p w:rsidR="00C26BFB" w:rsidRDefault="00C26BF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60"/>
        <w:gridCol w:w="780"/>
        <w:gridCol w:w="780"/>
        <w:gridCol w:w="780"/>
        <w:gridCol w:w="24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60" w:type="dxa"/>
            <w:vAlign w:val="center"/>
          </w:tcPr>
          <w:p w:rsidR="00C26BFB" w:rsidRDefault="00C26BF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460" w:type="dxa"/>
            <w:vAlign w:val="center"/>
          </w:tcPr>
          <w:p w:rsidR="00C26BFB" w:rsidRDefault="00C26BF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780" w:type="dxa"/>
            <w:vAlign w:val="center"/>
          </w:tcPr>
          <w:p w:rsidR="00C26BFB" w:rsidRDefault="00C26B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</w:p>
        </w:tc>
        <w:tc>
          <w:tcPr>
            <w:tcW w:w="780" w:type="dxa"/>
            <w:vAlign w:val="center"/>
          </w:tcPr>
          <w:p w:rsidR="00C26BFB" w:rsidRDefault="00C26B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払</w:t>
            </w:r>
          </w:p>
        </w:tc>
        <w:tc>
          <w:tcPr>
            <w:tcW w:w="780" w:type="dxa"/>
            <w:vAlign w:val="center"/>
          </w:tcPr>
          <w:p w:rsidR="00C26BFB" w:rsidRDefault="00C26B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</w:t>
            </w:r>
          </w:p>
        </w:tc>
        <w:tc>
          <w:tcPr>
            <w:tcW w:w="2460" w:type="dxa"/>
            <w:vAlign w:val="center"/>
          </w:tcPr>
          <w:p w:rsidR="00C26BFB" w:rsidRDefault="00C26BF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60" w:type="dxa"/>
            <w:vAlign w:val="center"/>
          </w:tcPr>
          <w:p w:rsidR="00C26BFB" w:rsidRDefault="00C26BFB">
            <w:pPr>
              <w:rPr>
                <w:rFonts w:hint="eastAsia"/>
              </w:rPr>
            </w:pPr>
          </w:p>
        </w:tc>
        <w:tc>
          <w:tcPr>
            <w:tcW w:w="2460" w:type="dxa"/>
            <w:vAlign w:val="center"/>
          </w:tcPr>
          <w:p w:rsidR="00C26BFB" w:rsidRDefault="00C26BFB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C26BFB" w:rsidRDefault="00C26BFB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C26BFB" w:rsidRDefault="00C26BFB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C26BFB" w:rsidRDefault="00C26BFB">
            <w:pPr>
              <w:rPr>
                <w:rFonts w:hint="eastAsia"/>
              </w:rPr>
            </w:pPr>
          </w:p>
        </w:tc>
        <w:tc>
          <w:tcPr>
            <w:tcW w:w="2460" w:type="dxa"/>
            <w:vAlign w:val="center"/>
          </w:tcPr>
          <w:p w:rsidR="00C26BFB" w:rsidRDefault="00C26BF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60" w:type="dxa"/>
            <w:vAlign w:val="center"/>
          </w:tcPr>
          <w:p w:rsidR="00C26BFB" w:rsidRDefault="00C26BFB">
            <w:pPr>
              <w:rPr>
                <w:rFonts w:hint="eastAsia"/>
              </w:rPr>
            </w:pPr>
          </w:p>
        </w:tc>
        <w:tc>
          <w:tcPr>
            <w:tcW w:w="2460" w:type="dxa"/>
            <w:vAlign w:val="center"/>
          </w:tcPr>
          <w:p w:rsidR="00C26BFB" w:rsidRDefault="00C26BFB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C26BFB" w:rsidRDefault="00C26BFB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C26BFB" w:rsidRDefault="00C26BFB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C26BFB" w:rsidRDefault="00C26BFB">
            <w:pPr>
              <w:rPr>
                <w:rFonts w:hint="eastAsia"/>
              </w:rPr>
            </w:pPr>
          </w:p>
        </w:tc>
        <w:tc>
          <w:tcPr>
            <w:tcW w:w="2460" w:type="dxa"/>
            <w:vAlign w:val="center"/>
          </w:tcPr>
          <w:p w:rsidR="00C26BFB" w:rsidRDefault="00C26BF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60" w:type="dxa"/>
            <w:vAlign w:val="center"/>
          </w:tcPr>
          <w:p w:rsidR="00C26BFB" w:rsidRDefault="00C26BFB">
            <w:pPr>
              <w:rPr>
                <w:rFonts w:hint="eastAsia"/>
              </w:rPr>
            </w:pPr>
          </w:p>
        </w:tc>
        <w:tc>
          <w:tcPr>
            <w:tcW w:w="2460" w:type="dxa"/>
            <w:vAlign w:val="center"/>
          </w:tcPr>
          <w:p w:rsidR="00C26BFB" w:rsidRDefault="00C26BFB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C26BFB" w:rsidRDefault="00C26BFB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C26BFB" w:rsidRDefault="00C26BFB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C26BFB" w:rsidRDefault="00C26BFB">
            <w:pPr>
              <w:rPr>
                <w:rFonts w:hint="eastAsia"/>
              </w:rPr>
            </w:pPr>
          </w:p>
        </w:tc>
        <w:tc>
          <w:tcPr>
            <w:tcW w:w="2460" w:type="dxa"/>
            <w:vAlign w:val="center"/>
          </w:tcPr>
          <w:p w:rsidR="00C26BFB" w:rsidRDefault="00C26BF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60" w:type="dxa"/>
            <w:vAlign w:val="center"/>
          </w:tcPr>
          <w:p w:rsidR="00C26BFB" w:rsidRDefault="00C26BFB">
            <w:pPr>
              <w:rPr>
                <w:rFonts w:hint="eastAsia"/>
              </w:rPr>
            </w:pPr>
          </w:p>
        </w:tc>
        <w:tc>
          <w:tcPr>
            <w:tcW w:w="2460" w:type="dxa"/>
            <w:vAlign w:val="center"/>
          </w:tcPr>
          <w:p w:rsidR="00C26BFB" w:rsidRDefault="00C26BFB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C26BFB" w:rsidRDefault="00C26BFB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C26BFB" w:rsidRDefault="00C26BFB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C26BFB" w:rsidRDefault="00C26BFB">
            <w:pPr>
              <w:rPr>
                <w:rFonts w:hint="eastAsia"/>
              </w:rPr>
            </w:pPr>
          </w:p>
        </w:tc>
        <w:tc>
          <w:tcPr>
            <w:tcW w:w="2460" w:type="dxa"/>
            <w:vAlign w:val="center"/>
          </w:tcPr>
          <w:p w:rsidR="00C26BFB" w:rsidRDefault="00C26BFB">
            <w:pPr>
              <w:rPr>
                <w:rFonts w:hint="eastAsia"/>
              </w:rPr>
            </w:pPr>
          </w:p>
        </w:tc>
      </w:tr>
    </w:tbl>
    <w:p w:rsidR="00C26BFB" w:rsidRDefault="00C26BFB">
      <w:pPr>
        <w:spacing w:before="120"/>
        <w:rPr>
          <w:rFonts w:hint="eastAsia"/>
        </w:rPr>
      </w:pPr>
      <w:r>
        <w:rPr>
          <w:rFonts w:hint="eastAsia"/>
        </w:rPr>
        <w:t>（注）１　保証金、保管金等の種別ごとに口座を設けて区分すること。</w:t>
      </w:r>
    </w:p>
    <w:sectPr w:rsidR="00000000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6BFB" w:rsidRDefault="00C26BFB">
      <w:r>
        <w:separator/>
      </w:r>
    </w:p>
  </w:endnote>
  <w:endnote w:type="continuationSeparator" w:id="0">
    <w:p w:rsidR="00C26BFB" w:rsidRDefault="00C2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6BFB" w:rsidRDefault="00C26B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26BFB" w:rsidRDefault="00C26B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6BFB" w:rsidRDefault="00C26BFB">
      <w:r>
        <w:separator/>
      </w:r>
    </w:p>
  </w:footnote>
  <w:footnote w:type="continuationSeparator" w:id="0">
    <w:p w:rsidR="00C26BFB" w:rsidRDefault="00C2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72238326">
    <w:abstractNumId w:val="1"/>
  </w:num>
  <w:num w:numId="2" w16cid:durableId="88548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4F0D"/>
    <w:rsid w:val="00164F0D"/>
    <w:rsid w:val="00C2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C321F5E-3C33-4B08-88A8-4865D471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2025-07-06T13:04:00Z</dcterms:created>
  <dcterms:modified xsi:type="dcterms:W3CDTF">2025-07-06T13:04:00Z</dcterms:modified>
</cp:coreProperties>
</file>